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0944" w14:textId="5AF82810" w:rsidR="5ED41B2F" w:rsidRDefault="46DE9206" w:rsidP="00A7466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5ED41B2F">
        <w:rPr>
          <w:b/>
          <w:bCs/>
          <w:sz w:val="28"/>
          <w:szCs w:val="28"/>
        </w:rPr>
        <w:t>MISE EN PLACE DU JOUR DE CARENCE DANS LE SECTEUR PRIVE</w:t>
      </w:r>
    </w:p>
    <w:p w14:paraId="2A1C3889" w14:textId="7DED7F3F" w:rsidR="5ED41B2F" w:rsidRDefault="321954EA" w:rsidP="5ED41B2F">
      <w:pPr>
        <w:jc w:val="both"/>
      </w:pPr>
      <w:r w:rsidRPr="5ED41B2F">
        <w:t>La loi de pays n°2026-3 du mars 2026 (Chapitre II), ainsi que la délibératio</w:t>
      </w:r>
      <w:r w:rsidR="2614680E" w:rsidRPr="5ED41B2F">
        <w:t xml:space="preserve">n n°550 du 26 mars 2026 (Chapitre </w:t>
      </w:r>
      <w:r w:rsidR="3D8BB09B" w:rsidRPr="5ED41B2F">
        <w:t xml:space="preserve">II) a instauré la mise en place du jour de carence ainsi que ses modalités d’applications dans le </w:t>
      </w:r>
      <w:r w:rsidR="7C0BB843" w:rsidRPr="5ED41B2F">
        <w:t>secteur privé.</w:t>
      </w:r>
    </w:p>
    <w:p w14:paraId="7DBB7D9F" w14:textId="4FE99BDF" w:rsidR="7C0BB843" w:rsidRDefault="7C0BB843" w:rsidP="5ED41B2F">
      <w:pPr>
        <w:jc w:val="both"/>
      </w:pPr>
      <w:r w:rsidRPr="5ED41B2F">
        <w:t xml:space="preserve">Il a été modifié le premier alinéa de l’article </w:t>
      </w:r>
      <w:proofErr w:type="spellStart"/>
      <w:r w:rsidR="5A1ED8B5" w:rsidRPr="5ED41B2F">
        <w:t>Lp</w:t>
      </w:r>
      <w:proofErr w:type="spellEnd"/>
      <w:r w:rsidR="5A1ED8B5" w:rsidRPr="5ED41B2F">
        <w:t xml:space="preserve">. 83-1 de la loi de pays relative à la sécurité sociale en Nouvelle-Calédonie </w:t>
      </w:r>
      <w:r w:rsidR="7DFF7FA0" w:rsidRPr="5ED41B2F">
        <w:t>comme suit :</w:t>
      </w:r>
    </w:p>
    <w:p w14:paraId="39333290" w14:textId="45E9BD72" w:rsidR="648BE9A6" w:rsidRDefault="648BE9A6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L’assuré, auquel </w:t>
      </w:r>
      <w:r w:rsidR="4DE8FDD3" w:rsidRPr="5ED41B2F">
        <w:rPr>
          <w:b/>
          <w:bCs/>
          <w:i/>
          <w:iCs/>
        </w:rPr>
        <w:t xml:space="preserve">ne s’applique pas la loi de pays n°2025-1 du 15 janvier 2025 (les agents publics de </w:t>
      </w:r>
      <w:r w:rsidR="0A0272C7" w:rsidRPr="5ED41B2F">
        <w:rPr>
          <w:b/>
          <w:bCs/>
          <w:i/>
          <w:iCs/>
        </w:rPr>
        <w:t xml:space="preserve">la NC et les contractuels des EPICS, ayant </w:t>
      </w:r>
      <w:r w:rsidR="4F8D1E51" w:rsidRPr="5ED41B2F">
        <w:rPr>
          <w:b/>
          <w:bCs/>
          <w:i/>
          <w:iCs/>
        </w:rPr>
        <w:t>déjà</w:t>
      </w:r>
      <w:r w:rsidR="0A0272C7" w:rsidRPr="5ED41B2F">
        <w:rPr>
          <w:b/>
          <w:bCs/>
          <w:i/>
          <w:iCs/>
        </w:rPr>
        <w:t xml:space="preserve"> une disposition de jour de carence), qui se </w:t>
      </w:r>
      <w:r w:rsidR="2EC5EF45" w:rsidRPr="5ED41B2F">
        <w:rPr>
          <w:b/>
          <w:bCs/>
          <w:i/>
          <w:iCs/>
        </w:rPr>
        <w:t>trouve</w:t>
      </w:r>
      <w:r w:rsidR="0A0272C7" w:rsidRPr="5ED41B2F">
        <w:rPr>
          <w:b/>
          <w:bCs/>
          <w:i/>
          <w:iCs/>
        </w:rPr>
        <w:t xml:space="preserve"> dans l’incapaci</w:t>
      </w:r>
      <w:r w:rsidR="0E1A5AB5" w:rsidRPr="5ED41B2F">
        <w:rPr>
          <w:b/>
          <w:bCs/>
          <w:i/>
          <w:iCs/>
        </w:rPr>
        <w:t xml:space="preserve">té </w:t>
      </w:r>
      <w:r w:rsidR="231D15BD" w:rsidRPr="5ED41B2F">
        <w:rPr>
          <w:b/>
          <w:bCs/>
          <w:i/>
          <w:iCs/>
        </w:rPr>
        <w:t xml:space="preserve">médicalement constatée de continuer ou de reprendre le travail </w:t>
      </w:r>
      <w:r w:rsidR="178B9DBC" w:rsidRPr="5ED41B2F">
        <w:rPr>
          <w:b/>
          <w:bCs/>
          <w:i/>
          <w:iCs/>
        </w:rPr>
        <w:t>reçoit</w:t>
      </w:r>
      <w:r w:rsidR="231D15BD" w:rsidRPr="5ED41B2F">
        <w:rPr>
          <w:b/>
          <w:bCs/>
          <w:i/>
          <w:iCs/>
        </w:rPr>
        <w:t xml:space="preserve"> une indemnité journalière </w:t>
      </w:r>
      <w:r w:rsidR="5B4910FF" w:rsidRPr="5ED41B2F">
        <w:rPr>
          <w:b/>
          <w:bCs/>
          <w:i/>
          <w:iCs/>
        </w:rPr>
        <w:t xml:space="preserve">à l’expiration d’un délai de carence </w:t>
      </w:r>
      <w:r w:rsidR="7EC52B7D" w:rsidRPr="5ED41B2F">
        <w:rPr>
          <w:b/>
          <w:bCs/>
          <w:i/>
          <w:iCs/>
        </w:rPr>
        <w:t>déterminé</w:t>
      </w:r>
      <w:r w:rsidR="5B4910FF" w:rsidRPr="5ED41B2F">
        <w:rPr>
          <w:b/>
          <w:bCs/>
          <w:i/>
          <w:iCs/>
        </w:rPr>
        <w:t xml:space="preserve"> par </w:t>
      </w:r>
      <w:r w:rsidR="782ACA8F" w:rsidRPr="5ED41B2F">
        <w:rPr>
          <w:b/>
          <w:bCs/>
          <w:i/>
          <w:iCs/>
        </w:rPr>
        <w:t>délibération</w:t>
      </w:r>
      <w:r w:rsidR="5B4910FF" w:rsidRPr="5ED41B2F">
        <w:rPr>
          <w:b/>
          <w:bCs/>
          <w:i/>
          <w:iCs/>
        </w:rPr>
        <w:t xml:space="preserve"> du </w:t>
      </w:r>
      <w:r w:rsidR="2248F920" w:rsidRPr="5ED41B2F">
        <w:rPr>
          <w:b/>
          <w:bCs/>
          <w:i/>
          <w:iCs/>
        </w:rPr>
        <w:t>congrès</w:t>
      </w:r>
      <w:r w:rsidR="5B4910FF" w:rsidRPr="5ED41B2F">
        <w:rPr>
          <w:b/>
          <w:bCs/>
          <w:i/>
          <w:iCs/>
        </w:rPr>
        <w:t>.</w:t>
      </w:r>
      <w:r w:rsidR="6824653B" w:rsidRPr="5ED41B2F">
        <w:rPr>
          <w:b/>
          <w:bCs/>
          <w:i/>
          <w:iCs/>
        </w:rPr>
        <w:t xml:space="preserve"> </w:t>
      </w:r>
    </w:p>
    <w:p w14:paraId="3434558B" w14:textId="6B309AA8" w:rsidR="6824653B" w:rsidRDefault="6824653B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Le </w:t>
      </w:r>
      <w:r w:rsidR="46E0A846" w:rsidRPr="5ED41B2F">
        <w:rPr>
          <w:b/>
          <w:bCs/>
          <w:i/>
          <w:iCs/>
        </w:rPr>
        <w:t>délai</w:t>
      </w:r>
      <w:r w:rsidRPr="5ED41B2F">
        <w:rPr>
          <w:b/>
          <w:bCs/>
          <w:i/>
          <w:iCs/>
        </w:rPr>
        <w:t xml:space="preserve"> de carence </w:t>
      </w:r>
      <w:r w:rsidR="4287DC50" w:rsidRPr="5ED41B2F">
        <w:rPr>
          <w:b/>
          <w:bCs/>
          <w:i/>
          <w:iCs/>
        </w:rPr>
        <w:t>déterminé</w:t>
      </w:r>
      <w:r w:rsidRPr="5ED41B2F">
        <w:rPr>
          <w:b/>
          <w:bCs/>
          <w:i/>
          <w:iCs/>
        </w:rPr>
        <w:t xml:space="preserve"> par délibération du congrès. Le délai de carence se définit comme le déla</w:t>
      </w:r>
      <w:r w:rsidR="0E0D4D89" w:rsidRPr="5ED41B2F">
        <w:rPr>
          <w:b/>
          <w:bCs/>
          <w:i/>
          <w:iCs/>
        </w:rPr>
        <w:t>i entre le début de l’</w:t>
      </w:r>
      <w:r w:rsidR="75069855" w:rsidRPr="5ED41B2F">
        <w:rPr>
          <w:b/>
          <w:bCs/>
          <w:i/>
          <w:iCs/>
        </w:rPr>
        <w:t>arrêt</w:t>
      </w:r>
      <w:r w:rsidR="0E0D4D89" w:rsidRPr="5ED41B2F">
        <w:rPr>
          <w:b/>
          <w:bCs/>
          <w:i/>
          <w:iCs/>
        </w:rPr>
        <w:t xml:space="preserve"> maladie et le début du droit à percevoir des indemnités </w:t>
      </w:r>
      <w:r w:rsidR="503E1230" w:rsidRPr="5ED41B2F">
        <w:rPr>
          <w:b/>
          <w:bCs/>
          <w:i/>
          <w:iCs/>
        </w:rPr>
        <w:t>journalières</w:t>
      </w:r>
      <w:r w:rsidR="23E7EB1C" w:rsidRPr="5ED41B2F">
        <w:rPr>
          <w:b/>
          <w:bCs/>
          <w:i/>
          <w:iCs/>
        </w:rPr>
        <w:t xml:space="preserve">. </w:t>
      </w:r>
    </w:p>
    <w:p w14:paraId="20EDEE25" w14:textId="581AF6D7" w:rsidR="23E7EB1C" w:rsidRDefault="23E7EB1C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>L’indemnité journalière est égale à une fraction de la rémunération ou du gain journalier soumis à cotisation</w:t>
      </w:r>
      <w:r w:rsidR="40340D4E" w:rsidRPr="5ED41B2F">
        <w:rPr>
          <w:b/>
          <w:bCs/>
          <w:i/>
          <w:iCs/>
        </w:rPr>
        <w:t xml:space="preserve"> dont il se trouve privé du fait de son </w:t>
      </w:r>
      <w:r w:rsidR="504C1F5A" w:rsidRPr="5ED41B2F">
        <w:rPr>
          <w:b/>
          <w:bCs/>
          <w:i/>
          <w:iCs/>
        </w:rPr>
        <w:t>arrêt</w:t>
      </w:r>
      <w:r w:rsidR="40340D4E" w:rsidRPr="5ED41B2F">
        <w:rPr>
          <w:b/>
          <w:bCs/>
          <w:i/>
          <w:iCs/>
        </w:rPr>
        <w:t xml:space="preserve"> de travail.</w:t>
      </w:r>
    </w:p>
    <w:p w14:paraId="0372FF72" w14:textId="084833F4" w:rsidR="40340D4E" w:rsidRDefault="40340D4E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Le gain journalier est </w:t>
      </w:r>
      <w:r w:rsidR="65A60CC0" w:rsidRPr="5ED41B2F">
        <w:rPr>
          <w:b/>
          <w:bCs/>
          <w:i/>
          <w:iCs/>
        </w:rPr>
        <w:t xml:space="preserve">déterminé </w:t>
      </w:r>
      <w:r w:rsidRPr="5ED41B2F">
        <w:rPr>
          <w:b/>
          <w:bCs/>
          <w:i/>
          <w:iCs/>
        </w:rPr>
        <w:t>d’après la ou les dernières payes antérieurs à la date</w:t>
      </w:r>
      <w:r w:rsidR="7B1BA496" w:rsidRPr="5ED41B2F">
        <w:rPr>
          <w:b/>
          <w:bCs/>
          <w:i/>
          <w:iCs/>
        </w:rPr>
        <w:t xml:space="preserve"> </w:t>
      </w:r>
      <w:r w:rsidRPr="5ED41B2F">
        <w:rPr>
          <w:b/>
          <w:bCs/>
          <w:i/>
          <w:iCs/>
        </w:rPr>
        <w:t>d’interruption du travail</w:t>
      </w:r>
      <w:r w:rsidR="49DA8FB8" w:rsidRPr="5ED41B2F">
        <w:rPr>
          <w:b/>
          <w:bCs/>
          <w:i/>
          <w:iCs/>
        </w:rPr>
        <w:t>.</w:t>
      </w:r>
    </w:p>
    <w:p w14:paraId="5ABC9072" w14:textId="544052EC" w:rsidR="49DA8FB8" w:rsidRDefault="49DA8FB8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Une délibération prévoit que, pour certaines absences au cours d’une </w:t>
      </w:r>
      <w:r w:rsidR="5F9CC8F8" w:rsidRPr="5ED41B2F">
        <w:rPr>
          <w:b/>
          <w:bCs/>
          <w:i/>
          <w:iCs/>
        </w:rPr>
        <w:t>même</w:t>
      </w:r>
      <w:r w:rsidRPr="5ED41B2F">
        <w:rPr>
          <w:b/>
          <w:bCs/>
          <w:i/>
          <w:iCs/>
        </w:rPr>
        <w:t xml:space="preserve"> </w:t>
      </w:r>
      <w:r w:rsidR="3144285A" w:rsidRPr="5ED41B2F">
        <w:rPr>
          <w:b/>
          <w:bCs/>
          <w:i/>
          <w:iCs/>
        </w:rPr>
        <w:t>période</w:t>
      </w:r>
      <w:r w:rsidRPr="5ED41B2F">
        <w:rPr>
          <w:b/>
          <w:bCs/>
          <w:i/>
          <w:iCs/>
        </w:rPr>
        <w:t>, l’assuré bénéficie des in</w:t>
      </w:r>
      <w:r w:rsidR="40D4D66A" w:rsidRPr="5ED41B2F">
        <w:rPr>
          <w:b/>
          <w:bCs/>
          <w:i/>
          <w:iCs/>
        </w:rPr>
        <w:t>demnités journalières dès le premier jour d’incapacité.</w:t>
      </w:r>
    </w:p>
    <w:p w14:paraId="6E155BDD" w14:textId="39569D16" w:rsidR="40D4D66A" w:rsidRDefault="40D4D66A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Au cas </w:t>
      </w:r>
      <w:r w:rsidR="29C2E1C8" w:rsidRPr="5ED41B2F">
        <w:rPr>
          <w:b/>
          <w:bCs/>
          <w:i/>
          <w:iCs/>
        </w:rPr>
        <w:t>où</w:t>
      </w:r>
      <w:r w:rsidRPr="5ED41B2F">
        <w:rPr>
          <w:b/>
          <w:bCs/>
          <w:i/>
          <w:iCs/>
        </w:rPr>
        <w:t xml:space="preserve"> un assuré bénéficie de plusieurs congés pour incapacité médicale dans une période de douze mois, c</w:t>
      </w:r>
      <w:r w:rsidR="0902734C" w:rsidRPr="5ED41B2F">
        <w:rPr>
          <w:b/>
          <w:bCs/>
          <w:i/>
          <w:iCs/>
        </w:rPr>
        <w:t xml:space="preserve">ette durée peut </w:t>
      </w:r>
      <w:r w:rsidR="31F28EA7" w:rsidRPr="5ED41B2F">
        <w:rPr>
          <w:b/>
          <w:bCs/>
          <w:i/>
          <w:iCs/>
        </w:rPr>
        <w:t>être</w:t>
      </w:r>
      <w:r w:rsidR="0902734C" w:rsidRPr="5ED41B2F">
        <w:rPr>
          <w:b/>
          <w:bCs/>
          <w:i/>
          <w:iCs/>
        </w:rPr>
        <w:t xml:space="preserve"> modulée pour les </w:t>
      </w:r>
      <w:r w:rsidR="41A6C0A1" w:rsidRPr="5ED41B2F">
        <w:rPr>
          <w:b/>
          <w:bCs/>
          <w:i/>
          <w:iCs/>
        </w:rPr>
        <w:t>différents</w:t>
      </w:r>
      <w:r w:rsidR="0902734C" w:rsidRPr="5ED41B2F">
        <w:rPr>
          <w:b/>
          <w:bCs/>
          <w:i/>
          <w:iCs/>
        </w:rPr>
        <w:t xml:space="preserve"> congés successifs de cette </w:t>
      </w:r>
      <w:r w:rsidR="4E320762" w:rsidRPr="5ED41B2F">
        <w:rPr>
          <w:b/>
          <w:bCs/>
          <w:i/>
          <w:iCs/>
        </w:rPr>
        <w:t>période</w:t>
      </w:r>
      <w:r w:rsidR="0902734C" w:rsidRPr="5ED41B2F">
        <w:rPr>
          <w:b/>
          <w:bCs/>
          <w:i/>
          <w:iCs/>
        </w:rPr>
        <w:t>, dans des conditions</w:t>
      </w:r>
      <w:r w:rsidR="5C8DC6EC" w:rsidRPr="5ED41B2F">
        <w:rPr>
          <w:b/>
          <w:bCs/>
          <w:i/>
          <w:iCs/>
        </w:rPr>
        <w:t xml:space="preserve"> définies par cette </w:t>
      </w:r>
      <w:r w:rsidR="3A6E603D" w:rsidRPr="5ED41B2F">
        <w:rPr>
          <w:b/>
          <w:bCs/>
          <w:i/>
          <w:iCs/>
        </w:rPr>
        <w:t>même</w:t>
      </w:r>
      <w:r w:rsidR="5C8DC6EC" w:rsidRPr="5ED41B2F">
        <w:rPr>
          <w:b/>
          <w:bCs/>
          <w:i/>
          <w:iCs/>
        </w:rPr>
        <w:t xml:space="preserve"> délibération.</w:t>
      </w:r>
    </w:p>
    <w:p w14:paraId="69E70C30" w14:textId="0E4BC1CA" w:rsidR="6EEBA68E" w:rsidRDefault="6EEBA68E" w:rsidP="5ED41B2F">
      <w:pPr>
        <w:jc w:val="both"/>
      </w:pPr>
      <w:r w:rsidRPr="5ED41B2F">
        <w:t xml:space="preserve">Ala suite du </w:t>
      </w:r>
      <w:r w:rsidR="52BDFBED" w:rsidRPr="5ED41B2F">
        <w:t>deuxième</w:t>
      </w:r>
      <w:r w:rsidRPr="5ED41B2F">
        <w:t xml:space="preserve"> alinéa de l’article </w:t>
      </w:r>
      <w:proofErr w:type="spellStart"/>
      <w:r w:rsidRPr="5ED41B2F">
        <w:t>Lp</w:t>
      </w:r>
      <w:proofErr w:type="spellEnd"/>
      <w:r w:rsidRPr="5ED41B2F">
        <w:t>. 83-1 de la loi de pays relative à la sécurité sociale en Nouvelle-Calédonie</w:t>
      </w:r>
      <w:r w:rsidR="1ECD1ABD" w:rsidRPr="5ED41B2F">
        <w:t xml:space="preserve"> il est inséré l’alinéa </w:t>
      </w:r>
      <w:r w:rsidR="7A60116D" w:rsidRPr="5ED41B2F">
        <w:t>suivant :</w:t>
      </w:r>
    </w:p>
    <w:p w14:paraId="4310067B" w14:textId="78EA352C" w:rsidR="1ECD1ABD" w:rsidRDefault="1ECD1ABD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 xml:space="preserve">Le délai de carence mentionné </w:t>
      </w:r>
      <w:r w:rsidR="69D6B763" w:rsidRPr="5ED41B2F">
        <w:rPr>
          <w:b/>
          <w:bCs/>
          <w:i/>
          <w:iCs/>
        </w:rPr>
        <w:t>précédemment</w:t>
      </w:r>
      <w:r w:rsidRPr="5ED41B2F">
        <w:rPr>
          <w:b/>
          <w:bCs/>
          <w:i/>
          <w:iCs/>
        </w:rPr>
        <w:t xml:space="preserve"> ne s’applique pas aux </w:t>
      </w:r>
      <w:r w:rsidR="1930EF0A" w:rsidRPr="5ED41B2F">
        <w:rPr>
          <w:b/>
          <w:bCs/>
          <w:i/>
          <w:iCs/>
        </w:rPr>
        <w:t>arrêts</w:t>
      </w:r>
      <w:r w:rsidRPr="5ED41B2F">
        <w:rPr>
          <w:b/>
          <w:bCs/>
          <w:i/>
          <w:iCs/>
        </w:rPr>
        <w:t xml:space="preserve"> de </w:t>
      </w:r>
      <w:r w:rsidR="7C0AA622" w:rsidRPr="5ED41B2F">
        <w:rPr>
          <w:b/>
          <w:bCs/>
          <w:i/>
          <w:iCs/>
        </w:rPr>
        <w:t>travail octroyé</w:t>
      </w:r>
      <w:r w:rsidRPr="5ED41B2F">
        <w:rPr>
          <w:b/>
          <w:bCs/>
          <w:i/>
          <w:iCs/>
        </w:rPr>
        <w:t xml:space="preserve"> au titre </w:t>
      </w:r>
      <w:r w:rsidR="769C95CC" w:rsidRPr="5ED41B2F">
        <w:rPr>
          <w:b/>
          <w:bCs/>
          <w:i/>
          <w:iCs/>
        </w:rPr>
        <w:t>du risque longue maladie, d’une hospitalisation et en cas d’évacuation sanitaire, ainsi qu’aux indem</w:t>
      </w:r>
      <w:r w:rsidR="17250DFB" w:rsidRPr="5ED41B2F">
        <w:rPr>
          <w:b/>
          <w:bCs/>
          <w:i/>
          <w:iCs/>
        </w:rPr>
        <w:t>nités journalières liées aux incapacités médicales consécutives à un accident du travail ou à une mal</w:t>
      </w:r>
      <w:r w:rsidR="685D6A11" w:rsidRPr="5ED41B2F">
        <w:rPr>
          <w:b/>
          <w:bCs/>
          <w:i/>
          <w:iCs/>
        </w:rPr>
        <w:t xml:space="preserve">adie professionnelle, par l’article 27 du </w:t>
      </w:r>
      <w:r w:rsidR="40E5302F" w:rsidRPr="5ED41B2F">
        <w:rPr>
          <w:b/>
          <w:bCs/>
          <w:i/>
          <w:iCs/>
        </w:rPr>
        <w:t>décret</w:t>
      </w:r>
      <w:r w:rsidR="685D6A11" w:rsidRPr="5ED41B2F">
        <w:rPr>
          <w:b/>
          <w:bCs/>
          <w:i/>
          <w:iCs/>
        </w:rPr>
        <w:t xml:space="preserve"> n</w:t>
      </w:r>
      <w:r w:rsidR="0C1B3228" w:rsidRPr="5ED41B2F">
        <w:rPr>
          <w:b/>
          <w:bCs/>
          <w:i/>
          <w:iCs/>
        </w:rPr>
        <w:t>°</w:t>
      </w:r>
      <w:r w:rsidR="685D6A11" w:rsidRPr="5ED41B2F">
        <w:rPr>
          <w:b/>
          <w:bCs/>
          <w:i/>
          <w:iCs/>
        </w:rPr>
        <w:t>57-245 du 24 février 1</w:t>
      </w:r>
      <w:r w:rsidR="32D82F92" w:rsidRPr="5ED41B2F">
        <w:rPr>
          <w:b/>
          <w:bCs/>
          <w:i/>
          <w:iCs/>
        </w:rPr>
        <w:t>957.</w:t>
      </w:r>
    </w:p>
    <w:p w14:paraId="3EC5E1B1" w14:textId="77777777" w:rsidR="00A74664" w:rsidRDefault="00A74664" w:rsidP="5ED41B2F">
      <w:pPr>
        <w:jc w:val="both"/>
        <w:rPr>
          <w:b/>
          <w:bCs/>
          <w:i/>
          <w:iCs/>
        </w:rPr>
      </w:pPr>
    </w:p>
    <w:p w14:paraId="30C56A50" w14:textId="75DD824A" w:rsidR="5ED41B2F" w:rsidRDefault="5ED41B2F" w:rsidP="5ED41B2F">
      <w:pPr>
        <w:jc w:val="both"/>
        <w:rPr>
          <w:color w:val="074F6A" w:themeColor="accent4" w:themeShade="80"/>
        </w:rPr>
      </w:pPr>
    </w:p>
    <w:p w14:paraId="127E5679" w14:textId="1F0BDF70" w:rsidR="1D54B72C" w:rsidRDefault="1D54B72C" w:rsidP="5ED41B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lastRenderedPageBreak/>
        <w:t>Article 27</w:t>
      </w:r>
    </w:p>
    <w:p w14:paraId="54483E1E" w14:textId="07BBFC75" w:rsidR="1D54B72C" w:rsidRDefault="1D54B72C" w:rsidP="5ED41B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t>Les indemnités dues aux bénéficiaires du présent décret comprennent :</w:t>
      </w:r>
    </w:p>
    <w:p w14:paraId="2ACB1767" w14:textId="0F78FE1C" w:rsidR="1D54B72C" w:rsidRDefault="1D54B72C" w:rsidP="5ED41B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t>1° L'indemnité journalière due à la victime pendant la période d'incapacité temporaire qui l'oblige à interrompre son travail ;</w:t>
      </w:r>
    </w:p>
    <w:p w14:paraId="20465B3C" w14:textId="0433B6F5" w:rsidR="1D54B72C" w:rsidRDefault="1D54B72C" w:rsidP="5ED41B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t>2° Les prestations autres que les rentes dues en cas d'accident suivi de mort définies aux articles 31 et 32 ci-dessous ;</w:t>
      </w:r>
    </w:p>
    <w:p w14:paraId="7110AFAB" w14:textId="2BB631A7" w:rsidR="1D54B72C" w:rsidRDefault="1D54B72C" w:rsidP="5ED41B2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t>3° La rente due à la victime atteinte d'une incapacité permanente de travail et, en cas de mort, les rentes dues aux ayants droit de la victime.</w:t>
      </w:r>
    </w:p>
    <w:p w14:paraId="3C033986" w14:textId="3072AF8F" w:rsidR="5ED41B2F" w:rsidRPr="00A74664" w:rsidRDefault="1D54B72C" w:rsidP="00A7466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spacing w:after="210"/>
        <w:jc w:val="both"/>
        <w:rPr>
          <w:rFonts w:ascii="Arial" w:eastAsia="Arial" w:hAnsi="Arial" w:cs="Arial"/>
          <w:color w:val="074F6A" w:themeColor="accent4" w:themeShade="80"/>
          <w:sz w:val="21"/>
          <w:szCs w:val="21"/>
        </w:rPr>
      </w:pPr>
      <w:r w:rsidRPr="5ED41B2F">
        <w:rPr>
          <w:rFonts w:ascii="Arial" w:eastAsia="Arial" w:hAnsi="Arial" w:cs="Arial"/>
          <w:color w:val="074F6A" w:themeColor="accent4" w:themeShade="80"/>
          <w:sz w:val="21"/>
          <w:szCs w:val="21"/>
        </w:rPr>
        <w:t>Le salaire de la journée au cours de laquelle le travail a été interrompu est intégralement à la charge de l'employeur.</w:t>
      </w:r>
    </w:p>
    <w:p w14:paraId="2F30B754" w14:textId="1EA494DB" w:rsidR="4C96CF47" w:rsidRDefault="4C96CF47" w:rsidP="5ED41B2F">
      <w:pPr>
        <w:jc w:val="both"/>
        <w:rPr>
          <w:b/>
          <w:bCs/>
          <w:i/>
          <w:iCs/>
        </w:rPr>
      </w:pPr>
      <w:r w:rsidRPr="5ED41B2F">
        <w:rPr>
          <w:color w:val="000000" w:themeColor="text1"/>
        </w:rPr>
        <w:t xml:space="preserve">Le sixième alinéa </w:t>
      </w:r>
      <w:r w:rsidR="45C989EC" w:rsidRPr="5ED41B2F">
        <w:rPr>
          <w:color w:val="000000" w:themeColor="text1"/>
        </w:rPr>
        <w:t>d</w:t>
      </w:r>
      <w:r w:rsidR="45C989EC" w:rsidRPr="5ED41B2F">
        <w:t xml:space="preserve">e l’article </w:t>
      </w:r>
      <w:proofErr w:type="spellStart"/>
      <w:r w:rsidR="45C989EC" w:rsidRPr="5ED41B2F">
        <w:t>Lp</w:t>
      </w:r>
      <w:proofErr w:type="spellEnd"/>
      <w:r w:rsidR="45C989EC" w:rsidRPr="5ED41B2F">
        <w:t>. 83-</w:t>
      </w:r>
      <w:r w:rsidR="744B5232" w:rsidRPr="5ED41B2F">
        <w:t>4</w:t>
      </w:r>
      <w:r w:rsidR="45C989EC" w:rsidRPr="5ED41B2F">
        <w:t xml:space="preserve"> de la loi de pays relative à la sécurité sociale en Nouvelle-Calédonie</w:t>
      </w:r>
      <w:r w:rsidR="29B6CDD4" w:rsidRPr="5ED41B2F">
        <w:t xml:space="preserve"> (concerne les </w:t>
      </w:r>
      <w:r w:rsidR="4A11E335" w:rsidRPr="5ED41B2F">
        <w:t xml:space="preserve">indemnités de </w:t>
      </w:r>
      <w:r w:rsidR="29B6CDD4" w:rsidRPr="5ED41B2F">
        <w:t>congés de maternités)</w:t>
      </w:r>
      <w:r w:rsidR="45C989EC" w:rsidRPr="5ED41B2F">
        <w:t xml:space="preserve">, </w:t>
      </w:r>
      <w:r w:rsidR="69D7292E" w:rsidRPr="5ED41B2F">
        <w:t xml:space="preserve">est complété par la phrase </w:t>
      </w:r>
      <w:r w:rsidR="5D667CB7" w:rsidRPr="5ED41B2F">
        <w:t>suivante :</w:t>
      </w:r>
    </w:p>
    <w:p w14:paraId="3D332527" w14:textId="3E2D8C31" w:rsidR="5D667CB7" w:rsidRDefault="5D667CB7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>Dans ce cas, le délai de carence prévu à l’article Lp.83-1 ne s’applique pas.</w:t>
      </w:r>
    </w:p>
    <w:p w14:paraId="336D4F58" w14:textId="075924DA" w:rsidR="69D7292E" w:rsidRDefault="69D7292E" w:rsidP="5ED41B2F">
      <w:pPr>
        <w:jc w:val="both"/>
      </w:pPr>
      <w:r w:rsidRPr="5ED41B2F">
        <w:t xml:space="preserve"> </w:t>
      </w:r>
      <w:r w:rsidR="294D8E46" w:rsidRPr="5ED41B2F">
        <w:t>Après cet article, il est inséré un article LP. 84-4-1 ainsi rédigé :</w:t>
      </w:r>
    </w:p>
    <w:p w14:paraId="7B90F035" w14:textId="54B28586" w:rsidR="5ED41B2F" w:rsidRDefault="294D8E46" w:rsidP="5ED41B2F">
      <w:pPr>
        <w:jc w:val="both"/>
        <w:rPr>
          <w:b/>
          <w:bCs/>
          <w:i/>
          <w:iCs/>
        </w:rPr>
      </w:pPr>
      <w:r w:rsidRPr="5ED41B2F">
        <w:rPr>
          <w:b/>
          <w:bCs/>
          <w:i/>
          <w:iCs/>
        </w:rPr>
        <w:t>En cas de constat d’une incapacité de travail faisant suite à une interruption de grossesse, le délai de carence prévu à</w:t>
      </w:r>
      <w:r w:rsidR="5E884E15" w:rsidRPr="5ED41B2F">
        <w:rPr>
          <w:b/>
          <w:bCs/>
          <w:i/>
          <w:iCs/>
        </w:rPr>
        <w:t xml:space="preserve"> l’article </w:t>
      </w:r>
      <w:proofErr w:type="spellStart"/>
      <w:r w:rsidR="5E884E15" w:rsidRPr="5ED41B2F">
        <w:rPr>
          <w:b/>
          <w:bCs/>
          <w:i/>
          <w:iCs/>
        </w:rPr>
        <w:t>Lp</w:t>
      </w:r>
      <w:proofErr w:type="spellEnd"/>
      <w:r w:rsidR="5E884E15" w:rsidRPr="5ED41B2F">
        <w:rPr>
          <w:b/>
          <w:bCs/>
          <w:i/>
          <w:iCs/>
        </w:rPr>
        <w:t>. 83-1 ne s’applique pas.</w:t>
      </w:r>
    </w:p>
    <w:p w14:paraId="713AA252" w14:textId="78157FC0" w:rsidR="1AB1F0ED" w:rsidRDefault="1AB1F0ED" w:rsidP="5ED41B2F">
      <w:pPr>
        <w:jc w:val="both"/>
      </w:pPr>
      <w:r w:rsidRPr="5ED41B2F">
        <w:t xml:space="preserve">La délibération </w:t>
      </w:r>
      <w:r w:rsidRPr="5ED41B2F">
        <w:rPr>
          <w:rFonts w:ascii="Times New Roman" w:eastAsia="Times New Roman" w:hAnsi="Times New Roman" w:cs="Times New Roman"/>
        </w:rPr>
        <w:t xml:space="preserve">n° 280 du 19 décembre 2001 relative à la sécurité sociale en Nouvelle-Calédonie </w:t>
      </w:r>
      <w:r w:rsidR="1D8D65E2" w:rsidRPr="5ED41B2F">
        <w:rPr>
          <w:rFonts w:ascii="Times New Roman" w:eastAsia="Times New Roman" w:hAnsi="Times New Roman" w:cs="Times New Roman"/>
        </w:rPr>
        <w:t xml:space="preserve">Sous-section 1 - Les prestations en espèces des travailleurs salariés et assimilés </w:t>
      </w:r>
      <w:r w:rsidRPr="5ED41B2F">
        <w:rPr>
          <w:rFonts w:ascii="Times New Roman" w:eastAsia="Times New Roman" w:hAnsi="Times New Roman" w:cs="Times New Roman"/>
        </w:rPr>
        <w:t>est modifié ainsi :</w:t>
      </w:r>
    </w:p>
    <w:p w14:paraId="67886D85" w14:textId="4D731480" w:rsidR="48F01BD5" w:rsidRDefault="48F01BD5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Après le 1er alinéa de l’article R. 37-1 sont insérés </w:t>
      </w:r>
      <w:r w:rsidR="2F9D1087" w:rsidRPr="5ED41B2F">
        <w:rPr>
          <w:rFonts w:ascii="Times New Roman" w:eastAsia="Times New Roman" w:hAnsi="Times New Roman" w:cs="Times New Roman"/>
          <w:b/>
          <w:bCs/>
          <w:i/>
          <w:iCs/>
        </w:rPr>
        <w:t>7 alinéas ainsi rédigés :</w:t>
      </w:r>
    </w:p>
    <w:p w14:paraId="1F0D77B8" w14:textId="4C21424F" w:rsidR="2F9D1087" w:rsidRDefault="2F9D1087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Au titre du risque maladie et chirurgie, un délai de carence est applicable.</w:t>
      </w:r>
    </w:p>
    <w:p w14:paraId="216F8A48" w14:textId="19D3F972" w:rsidR="2F9D1087" w:rsidRDefault="2F9D1087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Lors de chaque </w:t>
      </w:r>
      <w:r w:rsidR="417F4044" w:rsidRPr="5ED41B2F">
        <w:rPr>
          <w:rFonts w:ascii="Times New Roman" w:eastAsia="Times New Roman" w:hAnsi="Times New Roman" w:cs="Times New Roman"/>
          <w:b/>
          <w:bCs/>
          <w:i/>
          <w:iCs/>
        </w:rPr>
        <w:t>arrêt</w:t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 initial, le point de départ de l’indemnité journalière est fixé au :</w:t>
      </w:r>
    </w:p>
    <w:p w14:paraId="0BA0F22F" w14:textId="5C255D08" w:rsidR="2F9D1087" w:rsidRDefault="2F9D1087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1.</w:t>
      </w:r>
      <w:r>
        <w:tab/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1er jour de l’incapacité de travail pour la </w:t>
      </w:r>
      <w:r w:rsidR="4520CA93" w:rsidRPr="5ED41B2F">
        <w:rPr>
          <w:rFonts w:ascii="Times New Roman" w:eastAsia="Times New Roman" w:hAnsi="Times New Roman" w:cs="Times New Roman"/>
          <w:b/>
          <w:bCs/>
          <w:i/>
          <w:iCs/>
        </w:rPr>
        <w:t>première</w:t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1ED8480" w:rsidRPr="5ED41B2F">
        <w:rPr>
          <w:rFonts w:ascii="Times New Roman" w:eastAsia="Times New Roman" w:hAnsi="Times New Roman" w:cs="Times New Roman"/>
          <w:b/>
          <w:bCs/>
          <w:i/>
          <w:iCs/>
        </w:rPr>
        <w:t>absence ;</w:t>
      </w:r>
    </w:p>
    <w:p w14:paraId="69D49103" w14:textId="577BC361" w:rsidR="2F9D1087" w:rsidRDefault="2F9D1087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2.</w:t>
      </w:r>
      <w:r>
        <w:tab/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2eme jour de l’incapacité de travail pour la </w:t>
      </w:r>
      <w:r w:rsidR="7FF24734" w:rsidRPr="5ED41B2F">
        <w:rPr>
          <w:rFonts w:ascii="Times New Roman" w:eastAsia="Times New Roman" w:hAnsi="Times New Roman" w:cs="Times New Roman"/>
          <w:b/>
          <w:bCs/>
          <w:i/>
          <w:iCs/>
        </w:rPr>
        <w:t>deuxième</w:t>
      </w:r>
      <w:r w:rsidR="12D975F8"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62EDAD7D" w:rsidRPr="5ED41B2F">
        <w:rPr>
          <w:rFonts w:ascii="Times New Roman" w:eastAsia="Times New Roman" w:hAnsi="Times New Roman" w:cs="Times New Roman"/>
          <w:b/>
          <w:bCs/>
          <w:i/>
          <w:iCs/>
        </w:rPr>
        <w:t>absence ;</w:t>
      </w:r>
    </w:p>
    <w:p w14:paraId="4C264372" w14:textId="50042400" w:rsidR="62EDAD7D" w:rsidRDefault="62EDAD7D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3.</w:t>
      </w:r>
      <w:r>
        <w:tab/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3eme jour de l’incapacité de travail pour la troisième absence ;</w:t>
      </w:r>
    </w:p>
    <w:p w14:paraId="6A386142" w14:textId="34E21414" w:rsidR="62EDAD7D" w:rsidRDefault="62EDAD7D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4.</w:t>
      </w:r>
      <w:r>
        <w:tab/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4eme jour de l’incapacité de travail pour la quatrième absence et les suivantes ;</w:t>
      </w:r>
    </w:p>
    <w:p w14:paraId="71C84558" w14:textId="60F5E8DB" w:rsidR="55E90D27" w:rsidRDefault="55E90D27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Les secteurs agricole et </w:t>
      </w:r>
      <w:r w:rsidR="094219AF" w:rsidRPr="5ED41B2F">
        <w:rPr>
          <w:rFonts w:ascii="Times New Roman" w:eastAsia="Times New Roman" w:hAnsi="Times New Roman" w:cs="Times New Roman"/>
          <w:b/>
          <w:bCs/>
          <w:i/>
          <w:iCs/>
        </w:rPr>
        <w:t>hôtel</w:t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 xml:space="preserve">, bar, café, restaurant prévoient le point de départ de l’indemnité journalière par une convention </w:t>
      </w:r>
      <w:r w:rsidR="49084F69" w:rsidRPr="5ED41B2F">
        <w:rPr>
          <w:rFonts w:ascii="Times New Roman" w:eastAsia="Times New Roman" w:hAnsi="Times New Roman" w:cs="Times New Roman"/>
          <w:b/>
          <w:bCs/>
          <w:i/>
          <w:iCs/>
        </w:rPr>
        <w:t>collective étendue.</w:t>
      </w:r>
    </w:p>
    <w:p w14:paraId="43564896" w14:textId="1E9844FF" w:rsidR="49084F69" w:rsidRDefault="49084F69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5ED41B2F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L’absence s’apprécie à chaque fois sur les douze derniers mois antérieurs au premier jour de l’incapacité.</w:t>
      </w:r>
    </w:p>
    <w:p w14:paraId="4DB60B7A" w14:textId="65D53324" w:rsidR="2FF0F912" w:rsidRDefault="2FF0F912" w:rsidP="5ED41B2F">
      <w:pPr>
        <w:jc w:val="both"/>
        <w:rPr>
          <w:rFonts w:ascii="Times New Roman" w:eastAsia="Times New Roman" w:hAnsi="Times New Roman" w:cs="Times New Roman"/>
        </w:rPr>
      </w:pPr>
      <w:r w:rsidRPr="5ED41B2F">
        <w:rPr>
          <w:rFonts w:ascii="Times New Roman" w:eastAsia="Times New Roman" w:hAnsi="Times New Roman" w:cs="Times New Roman"/>
        </w:rPr>
        <w:t xml:space="preserve">Le 2eme alinéa de l’article R. 37-1 est </w:t>
      </w:r>
      <w:r w:rsidR="3AE14719" w:rsidRPr="5ED41B2F">
        <w:rPr>
          <w:rFonts w:ascii="Times New Roman" w:eastAsia="Times New Roman" w:hAnsi="Times New Roman" w:cs="Times New Roman"/>
        </w:rPr>
        <w:t>réécrit</w:t>
      </w:r>
      <w:r w:rsidRPr="5ED41B2F">
        <w:rPr>
          <w:rFonts w:ascii="Times New Roman" w:eastAsia="Times New Roman" w:hAnsi="Times New Roman" w:cs="Times New Roman"/>
        </w:rPr>
        <w:t xml:space="preserve"> comme </w:t>
      </w:r>
      <w:r w:rsidR="78A5ADF0" w:rsidRPr="5ED41B2F">
        <w:rPr>
          <w:rFonts w:ascii="Times New Roman" w:eastAsia="Times New Roman" w:hAnsi="Times New Roman" w:cs="Times New Roman"/>
        </w:rPr>
        <w:t>suit :</w:t>
      </w:r>
    </w:p>
    <w:p w14:paraId="2A53EBD3" w14:textId="68776402" w:rsidR="70F2291E" w:rsidRDefault="70F2291E" w:rsidP="5ED41B2F">
      <w:pPr>
        <w:jc w:val="both"/>
      </w:pPr>
      <w:r w:rsidRPr="5ED41B2F">
        <w:rPr>
          <w:rFonts w:ascii="Times New Roman" w:eastAsia="Times New Roman" w:hAnsi="Times New Roman" w:cs="Times New Roman"/>
        </w:rPr>
        <w:t xml:space="preserve">Les prestations maladie, longue maladie et chirurgie consistent </w:t>
      </w:r>
      <w:r w:rsidRPr="5ED41B2F">
        <w:rPr>
          <w:rFonts w:ascii="Times New Roman" w:eastAsia="Times New Roman" w:hAnsi="Times New Roman" w:cs="Times New Roman"/>
          <w:b/>
          <w:bCs/>
          <w:i/>
          <w:iCs/>
        </w:rPr>
        <w:t>à l’expiration du délai de carence lorsqu’il s’applique</w:t>
      </w:r>
      <w:r w:rsidRPr="5ED41B2F">
        <w:rPr>
          <w:rFonts w:ascii="Times New Roman" w:eastAsia="Times New Roman" w:hAnsi="Times New Roman" w:cs="Times New Roman"/>
        </w:rPr>
        <w:t xml:space="preserve"> en une indemnité journalière égale à la moitié de la rémunération ou du gain journalier soumis à cotisations dont l’assuré se trouve privé, du fait de la maladie ou de l’intervention chirurgicale.</w:t>
      </w:r>
    </w:p>
    <w:p w14:paraId="233D6770" w14:textId="5E6CD7AD" w:rsidR="5ED41B2F" w:rsidRDefault="5ED41B2F" w:rsidP="5ED41B2F">
      <w:pPr>
        <w:jc w:val="both"/>
        <w:rPr>
          <w:rFonts w:ascii="Times New Roman" w:eastAsia="Times New Roman" w:hAnsi="Times New Roman" w:cs="Times New Roman"/>
        </w:rPr>
      </w:pPr>
    </w:p>
    <w:p w14:paraId="03E6A0DB" w14:textId="028CF128" w:rsidR="5ED41B2F" w:rsidRDefault="5ED41B2F" w:rsidP="5ED41B2F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5964C101" w14:textId="153DD859" w:rsidR="5ED41B2F" w:rsidRDefault="5ED41B2F" w:rsidP="5ED41B2F">
      <w:pPr>
        <w:jc w:val="both"/>
        <w:rPr>
          <w:rFonts w:ascii="Times New Roman" w:eastAsia="Times New Roman" w:hAnsi="Times New Roman" w:cs="Times New Roman"/>
        </w:rPr>
      </w:pPr>
    </w:p>
    <w:p w14:paraId="632DB970" w14:textId="1C35066B" w:rsidR="5ED41B2F" w:rsidRDefault="5ED41B2F" w:rsidP="5ED41B2F">
      <w:pPr>
        <w:jc w:val="both"/>
        <w:rPr>
          <w:rFonts w:ascii="Times New Roman" w:eastAsia="Times New Roman" w:hAnsi="Times New Roman" w:cs="Times New Roman"/>
        </w:rPr>
      </w:pPr>
    </w:p>
    <w:p w14:paraId="1DBC554F" w14:textId="3F015B26" w:rsidR="5ED41B2F" w:rsidRDefault="5ED41B2F" w:rsidP="5ED41B2F">
      <w:pPr>
        <w:jc w:val="both"/>
      </w:pPr>
    </w:p>
    <w:p w14:paraId="17E1C63B" w14:textId="5D2330BD" w:rsidR="5ED41B2F" w:rsidRDefault="5ED41B2F" w:rsidP="5ED41B2F">
      <w:pPr>
        <w:jc w:val="both"/>
        <w:rPr>
          <w:b/>
          <w:bCs/>
          <w:i/>
          <w:iCs/>
        </w:rPr>
      </w:pPr>
    </w:p>
    <w:sectPr w:rsidR="5ED41B2F" w:rsidSect="008F63A9">
      <w:headerReference w:type="default" r:id="rId6"/>
      <w:footerReference w:type="default" r:id="rId7"/>
      <w:pgSz w:w="11906" w:h="16838"/>
      <w:pgMar w:top="2552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8948" w14:textId="77777777" w:rsidR="00054A9D" w:rsidRDefault="00054A9D" w:rsidP="0036537F">
      <w:pPr>
        <w:spacing w:after="0" w:line="240" w:lineRule="auto"/>
      </w:pPr>
      <w:r>
        <w:separator/>
      </w:r>
    </w:p>
  </w:endnote>
  <w:endnote w:type="continuationSeparator" w:id="0">
    <w:p w14:paraId="130165A2" w14:textId="77777777" w:rsidR="00054A9D" w:rsidRDefault="00054A9D" w:rsidP="0036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AA7" w14:textId="4B6BD02D" w:rsidR="0036537F" w:rsidRDefault="00B1319F">
    <w:pPr>
      <w:pStyle w:val="Pieddepage"/>
    </w:pPr>
    <w:r>
      <w:rPr>
        <w:noProof/>
      </w:rPr>
      <w:drawing>
        <wp:inline distT="0" distB="0" distL="0" distR="0" wp14:anchorId="021E1BAE" wp14:editId="508AEA07">
          <wp:extent cx="5731510" cy="576580"/>
          <wp:effectExtent l="0" t="0" r="0" b="0"/>
          <wp:docPr id="1208356927" name="Image 3">
            <a:extLst xmlns:a="http://schemas.openxmlformats.org/drawingml/2006/main">
              <a:ext uri="{FF2B5EF4-FFF2-40B4-BE49-F238E27FC236}">
                <a16:creationId xmlns:a16="http://schemas.microsoft.com/office/drawing/2014/main" id="{23A0E181-3C09-47ED-A9E3-F3C30A4077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B008" w14:textId="77777777" w:rsidR="00054A9D" w:rsidRDefault="00054A9D" w:rsidP="0036537F">
      <w:pPr>
        <w:spacing w:after="0" w:line="240" w:lineRule="auto"/>
      </w:pPr>
      <w:r>
        <w:separator/>
      </w:r>
    </w:p>
  </w:footnote>
  <w:footnote w:type="continuationSeparator" w:id="0">
    <w:p w14:paraId="3532A0B2" w14:textId="77777777" w:rsidR="00054A9D" w:rsidRDefault="00054A9D" w:rsidP="0036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1B92" w14:textId="4C57822A" w:rsidR="0036537F" w:rsidRDefault="0036537F">
    <w:pPr>
      <w:pStyle w:val="En-tte"/>
    </w:pPr>
    <w:r w:rsidRPr="00A71B0E">
      <w:rPr>
        <w:rFonts w:ascii="Calibri" w:hAnsi="Calibri" w:cs="Calibri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54296384" wp14:editId="3DD9D5F3">
          <wp:simplePos x="0" y="0"/>
          <wp:positionH relativeFrom="margin">
            <wp:posOffset>1466850</wp:posOffset>
          </wp:positionH>
          <wp:positionV relativeFrom="paragraph">
            <wp:posOffset>-209550</wp:posOffset>
          </wp:positionV>
          <wp:extent cx="2015490" cy="1219693"/>
          <wp:effectExtent l="0" t="0" r="3810" b="0"/>
          <wp:wrapNone/>
          <wp:docPr id="1945644350" name="Image 1">
            <a:extLst xmlns:a="http://schemas.openxmlformats.org/drawingml/2006/main">
              <a:ext uri="{FF2B5EF4-FFF2-40B4-BE49-F238E27FC236}">
                <a16:creationId xmlns:a16="http://schemas.microsoft.com/office/drawing/2014/main" id="{E5160E28-A41E-4350-8543-8976815703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0480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1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EKU2rtVWdg0+P" int2:id="QsX07xJT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297092"/>
    <w:rsid w:val="00054A9D"/>
    <w:rsid w:val="002D70E8"/>
    <w:rsid w:val="0036537F"/>
    <w:rsid w:val="0041940C"/>
    <w:rsid w:val="008F63A9"/>
    <w:rsid w:val="0097771D"/>
    <w:rsid w:val="00A74664"/>
    <w:rsid w:val="00B1319F"/>
    <w:rsid w:val="00D33A50"/>
    <w:rsid w:val="01ED8480"/>
    <w:rsid w:val="034A797A"/>
    <w:rsid w:val="05BEF23B"/>
    <w:rsid w:val="05E6F16D"/>
    <w:rsid w:val="05EC424F"/>
    <w:rsid w:val="0867EE41"/>
    <w:rsid w:val="0902734C"/>
    <w:rsid w:val="094219AF"/>
    <w:rsid w:val="09499447"/>
    <w:rsid w:val="0A0272C7"/>
    <w:rsid w:val="0AB63204"/>
    <w:rsid w:val="0C1B3228"/>
    <w:rsid w:val="0CC1F0D9"/>
    <w:rsid w:val="0D025B4E"/>
    <w:rsid w:val="0E0D4D89"/>
    <w:rsid w:val="0E1A5AB5"/>
    <w:rsid w:val="0F8F2876"/>
    <w:rsid w:val="12D975F8"/>
    <w:rsid w:val="130FE3B0"/>
    <w:rsid w:val="1475C4B5"/>
    <w:rsid w:val="17250DFB"/>
    <w:rsid w:val="178B9DBC"/>
    <w:rsid w:val="1930EF0A"/>
    <w:rsid w:val="193C8B5E"/>
    <w:rsid w:val="19AEAFCE"/>
    <w:rsid w:val="1AB1F0ED"/>
    <w:rsid w:val="1B58EB3C"/>
    <w:rsid w:val="1CA9AB03"/>
    <w:rsid w:val="1D54B72C"/>
    <w:rsid w:val="1D8D65E2"/>
    <w:rsid w:val="1D9E3EA5"/>
    <w:rsid w:val="1E4C0AB2"/>
    <w:rsid w:val="1ECD1ABD"/>
    <w:rsid w:val="212E380D"/>
    <w:rsid w:val="2248F920"/>
    <w:rsid w:val="231D15BD"/>
    <w:rsid w:val="23284250"/>
    <w:rsid w:val="23C6B1A6"/>
    <w:rsid w:val="23E7EB1C"/>
    <w:rsid w:val="25385631"/>
    <w:rsid w:val="25E86BF4"/>
    <w:rsid w:val="2614680E"/>
    <w:rsid w:val="26DC1445"/>
    <w:rsid w:val="2774302B"/>
    <w:rsid w:val="28340039"/>
    <w:rsid w:val="294D8E46"/>
    <w:rsid w:val="29B6CDD4"/>
    <w:rsid w:val="29C2E1C8"/>
    <w:rsid w:val="2A7D83ED"/>
    <w:rsid w:val="2B709855"/>
    <w:rsid w:val="2BA48F85"/>
    <w:rsid w:val="2D297092"/>
    <w:rsid w:val="2D8E45E4"/>
    <w:rsid w:val="2EC5EF45"/>
    <w:rsid w:val="2F9D1087"/>
    <w:rsid w:val="2FAF6B80"/>
    <w:rsid w:val="2FF0F912"/>
    <w:rsid w:val="3144285A"/>
    <w:rsid w:val="31532C54"/>
    <w:rsid w:val="31B46929"/>
    <w:rsid w:val="31B99219"/>
    <w:rsid w:val="31F28EA7"/>
    <w:rsid w:val="321954EA"/>
    <w:rsid w:val="32D82F92"/>
    <w:rsid w:val="35CEC0C5"/>
    <w:rsid w:val="36452F6A"/>
    <w:rsid w:val="365B89C1"/>
    <w:rsid w:val="36E5798E"/>
    <w:rsid w:val="376D1E16"/>
    <w:rsid w:val="37A46BE1"/>
    <w:rsid w:val="3A126CFE"/>
    <w:rsid w:val="3A6E603D"/>
    <w:rsid w:val="3AE14719"/>
    <w:rsid w:val="3B002346"/>
    <w:rsid w:val="3BC370A9"/>
    <w:rsid w:val="3D8BB09B"/>
    <w:rsid w:val="3E773A1B"/>
    <w:rsid w:val="3FABA87C"/>
    <w:rsid w:val="3FB26567"/>
    <w:rsid w:val="40340D4E"/>
    <w:rsid w:val="40D4D66A"/>
    <w:rsid w:val="40E5302F"/>
    <w:rsid w:val="417F4044"/>
    <w:rsid w:val="41981F9C"/>
    <w:rsid w:val="41A13F6B"/>
    <w:rsid w:val="41A6C0A1"/>
    <w:rsid w:val="41F15C7E"/>
    <w:rsid w:val="4287DC50"/>
    <w:rsid w:val="4520CA93"/>
    <w:rsid w:val="45C989EC"/>
    <w:rsid w:val="45EE82DA"/>
    <w:rsid w:val="4641D2E1"/>
    <w:rsid w:val="46DE9206"/>
    <w:rsid w:val="46E0A846"/>
    <w:rsid w:val="48F01BD5"/>
    <w:rsid w:val="49084F69"/>
    <w:rsid w:val="49AAD67A"/>
    <w:rsid w:val="49DA8FB8"/>
    <w:rsid w:val="4A11E335"/>
    <w:rsid w:val="4B3E33F3"/>
    <w:rsid w:val="4C96CF47"/>
    <w:rsid w:val="4D208F63"/>
    <w:rsid w:val="4DA2FFE8"/>
    <w:rsid w:val="4DE8FDD3"/>
    <w:rsid w:val="4E320762"/>
    <w:rsid w:val="4EEFA2EB"/>
    <w:rsid w:val="4F6C20B4"/>
    <w:rsid w:val="4F8D1E51"/>
    <w:rsid w:val="4FB299AE"/>
    <w:rsid w:val="50125972"/>
    <w:rsid w:val="503E1230"/>
    <w:rsid w:val="504C1F5A"/>
    <w:rsid w:val="51DE6FB6"/>
    <w:rsid w:val="52BDFBED"/>
    <w:rsid w:val="52F736EA"/>
    <w:rsid w:val="54941242"/>
    <w:rsid w:val="54E3149F"/>
    <w:rsid w:val="55E90D27"/>
    <w:rsid w:val="568FD31E"/>
    <w:rsid w:val="570EF99C"/>
    <w:rsid w:val="58140BD4"/>
    <w:rsid w:val="5967AED6"/>
    <w:rsid w:val="5A1ED8B5"/>
    <w:rsid w:val="5A2590CA"/>
    <w:rsid w:val="5AED4A58"/>
    <w:rsid w:val="5B4910FF"/>
    <w:rsid w:val="5BA2085A"/>
    <w:rsid w:val="5C63369A"/>
    <w:rsid w:val="5C8DC6EC"/>
    <w:rsid w:val="5D667CB7"/>
    <w:rsid w:val="5DB10CEC"/>
    <w:rsid w:val="5E884E15"/>
    <w:rsid w:val="5ED41B2F"/>
    <w:rsid w:val="5F9CC8F8"/>
    <w:rsid w:val="5FA2C783"/>
    <w:rsid w:val="61589996"/>
    <w:rsid w:val="62EDAD7D"/>
    <w:rsid w:val="641D74DF"/>
    <w:rsid w:val="64459E90"/>
    <w:rsid w:val="648BE9A6"/>
    <w:rsid w:val="64E423EA"/>
    <w:rsid w:val="65A60CC0"/>
    <w:rsid w:val="668EC044"/>
    <w:rsid w:val="6731CB3F"/>
    <w:rsid w:val="677D8AFA"/>
    <w:rsid w:val="680177E1"/>
    <w:rsid w:val="680CC2FA"/>
    <w:rsid w:val="6824653B"/>
    <w:rsid w:val="685D6A11"/>
    <w:rsid w:val="6867A5FF"/>
    <w:rsid w:val="69043CBB"/>
    <w:rsid w:val="690E0D8E"/>
    <w:rsid w:val="69338FB8"/>
    <w:rsid w:val="69699D9D"/>
    <w:rsid w:val="69D6B763"/>
    <w:rsid w:val="69D7292E"/>
    <w:rsid w:val="6B93BB43"/>
    <w:rsid w:val="6BB24BF7"/>
    <w:rsid w:val="6CDCA99C"/>
    <w:rsid w:val="6EEBA68E"/>
    <w:rsid w:val="7005D478"/>
    <w:rsid w:val="70201664"/>
    <w:rsid w:val="70F2291E"/>
    <w:rsid w:val="71776921"/>
    <w:rsid w:val="744B5232"/>
    <w:rsid w:val="7479FD56"/>
    <w:rsid w:val="75069855"/>
    <w:rsid w:val="769C95CC"/>
    <w:rsid w:val="77AF2FD8"/>
    <w:rsid w:val="782ACA8F"/>
    <w:rsid w:val="78A5ADF0"/>
    <w:rsid w:val="78BCE9E8"/>
    <w:rsid w:val="7A60116D"/>
    <w:rsid w:val="7B08DF9B"/>
    <w:rsid w:val="7B1BA496"/>
    <w:rsid w:val="7C0AA622"/>
    <w:rsid w:val="7C0BB843"/>
    <w:rsid w:val="7D5DC931"/>
    <w:rsid w:val="7DFF7FA0"/>
    <w:rsid w:val="7EC52B7D"/>
    <w:rsid w:val="7F0C432F"/>
    <w:rsid w:val="7FC6AB89"/>
    <w:rsid w:val="7FF2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42A96"/>
  <w15:chartTrackingRefBased/>
  <w15:docId w15:val="{BBCB0027-A784-4101-A008-11D4E8A5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6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37F"/>
  </w:style>
  <w:style w:type="paragraph" w:styleId="Pieddepage">
    <w:name w:val="footer"/>
    <w:basedOn w:val="Normal"/>
    <w:link w:val="PieddepageCar"/>
    <w:uiPriority w:val="99"/>
    <w:unhideWhenUsed/>
    <w:rsid w:val="0036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SFAO OPT</dc:creator>
  <cp:keywords/>
  <dc:description/>
  <cp:lastModifiedBy>Secrétariat La Fédé</cp:lastModifiedBy>
  <cp:revision>6</cp:revision>
  <dcterms:created xsi:type="dcterms:W3CDTF">2026-04-21T04:47:00Z</dcterms:created>
  <dcterms:modified xsi:type="dcterms:W3CDTF">2026-04-21T04:50:00Z</dcterms:modified>
</cp:coreProperties>
</file>